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742965" w:rsidRPr="003C7004">
        <w:rPr>
          <w:sz w:val="28"/>
          <w:szCs w:val="28"/>
        </w:rPr>
        <w:t>Jubiläumsgeschenk</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742965" w:rsidTr="00742965">
        <w:tc>
          <w:tcPr>
            <w:tcW w:w="2466" w:type="dxa"/>
            <w:vAlign w:val="center"/>
          </w:tcPr>
          <w:p w:rsidR="00742965" w:rsidRPr="00DE6A25" w:rsidRDefault="00742965" w:rsidP="008A099B">
            <w:pPr>
              <w:pStyle w:val="IQB-Merkmal"/>
            </w:pPr>
            <w:r w:rsidRPr="00DE6A25">
              <w:t>Leitidee</w:t>
            </w:r>
          </w:p>
        </w:tc>
        <w:tc>
          <w:tcPr>
            <w:tcW w:w="6604" w:type="dxa"/>
          </w:tcPr>
          <w:p w:rsidR="00742965" w:rsidRPr="00DE6A25" w:rsidRDefault="00742965" w:rsidP="008A099B">
            <w:pPr>
              <w:pStyle w:val="IQB-Merkmalswert"/>
              <w:rPr>
                <w:sz w:val="22"/>
                <w:szCs w:val="22"/>
              </w:rPr>
            </w:pPr>
            <w:r w:rsidRPr="00DE6A25">
              <w:rPr>
                <w:sz w:val="22"/>
                <w:szCs w:val="22"/>
              </w:rPr>
              <w:t>Funktionaler Zusammenhang (L4)</w:t>
            </w:r>
          </w:p>
        </w:tc>
      </w:tr>
      <w:tr w:rsidR="00742965" w:rsidTr="00742965">
        <w:tc>
          <w:tcPr>
            <w:tcW w:w="2466" w:type="dxa"/>
            <w:vAlign w:val="center"/>
          </w:tcPr>
          <w:p w:rsidR="00742965" w:rsidRPr="00DE6A25" w:rsidRDefault="00742965" w:rsidP="008A099B">
            <w:pPr>
              <w:pStyle w:val="IQB-Merkmal"/>
            </w:pPr>
            <w:r w:rsidRPr="00DE6A25">
              <w:t>Allgemeine Kompetenzen</w:t>
            </w:r>
          </w:p>
        </w:tc>
        <w:tc>
          <w:tcPr>
            <w:tcW w:w="6604" w:type="dxa"/>
          </w:tcPr>
          <w:p w:rsidR="00742965" w:rsidRDefault="00742965" w:rsidP="008A099B">
            <w:pPr>
              <w:pStyle w:val="IQB-Merkmalswert"/>
              <w:rPr>
                <w:sz w:val="22"/>
                <w:szCs w:val="22"/>
              </w:rPr>
            </w:pPr>
            <w:r>
              <w:rPr>
                <w:sz w:val="22"/>
                <w:szCs w:val="22"/>
              </w:rPr>
              <w:t>Mathematisch modellieren (K3)</w:t>
            </w:r>
          </w:p>
          <w:p w:rsidR="00742965" w:rsidRPr="00DE6A25" w:rsidRDefault="00742965" w:rsidP="008A099B">
            <w:pPr>
              <w:pStyle w:val="IQB-Merkmalswert"/>
              <w:rPr>
                <w:sz w:val="22"/>
                <w:szCs w:val="22"/>
              </w:rPr>
            </w:pPr>
            <w:r w:rsidRPr="00DE6A25">
              <w:rPr>
                <w:sz w:val="22"/>
                <w:szCs w:val="22"/>
              </w:rPr>
              <w:t>Mit symbolischen, formalen und technischen Elementen der Mathematik umgehen (K5)</w:t>
            </w:r>
          </w:p>
        </w:tc>
      </w:tr>
      <w:tr w:rsidR="00742965" w:rsidTr="00742965">
        <w:tc>
          <w:tcPr>
            <w:tcW w:w="2466" w:type="dxa"/>
            <w:vAlign w:val="center"/>
          </w:tcPr>
          <w:p w:rsidR="00742965" w:rsidRPr="00DE6A25" w:rsidRDefault="00742965" w:rsidP="008A099B">
            <w:pPr>
              <w:pStyle w:val="IQB-Merkmal"/>
            </w:pPr>
            <w:r w:rsidRPr="00DE6A25">
              <w:t>Anforderungsbereich</w:t>
            </w:r>
          </w:p>
        </w:tc>
        <w:tc>
          <w:tcPr>
            <w:tcW w:w="6604" w:type="dxa"/>
          </w:tcPr>
          <w:p w:rsidR="00742965" w:rsidRPr="00DE6A25" w:rsidRDefault="00742965" w:rsidP="008A099B">
            <w:pPr>
              <w:pStyle w:val="IQB-Merkmalswert"/>
              <w:rPr>
                <w:sz w:val="22"/>
                <w:szCs w:val="22"/>
              </w:rPr>
            </w:pPr>
            <w:r w:rsidRPr="00DE6A25">
              <w:rPr>
                <w:sz w:val="22"/>
                <w:szCs w:val="22"/>
              </w:rPr>
              <w:t>II</w:t>
            </w:r>
          </w:p>
        </w:tc>
      </w:tr>
      <w:tr w:rsidR="00742965" w:rsidTr="00742965">
        <w:tc>
          <w:tcPr>
            <w:tcW w:w="2466" w:type="dxa"/>
            <w:vAlign w:val="center"/>
          </w:tcPr>
          <w:p w:rsidR="00742965" w:rsidRPr="00DE6A25" w:rsidRDefault="00742965" w:rsidP="008A099B">
            <w:pPr>
              <w:pStyle w:val="IQB-Merkmal"/>
            </w:pPr>
            <w:r w:rsidRPr="00DE6A25">
              <w:t>Kompetenzstufe</w:t>
            </w:r>
          </w:p>
        </w:tc>
        <w:tc>
          <w:tcPr>
            <w:tcW w:w="6604" w:type="dxa"/>
          </w:tcPr>
          <w:p w:rsidR="00742965" w:rsidRPr="00DE6A25" w:rsidRDefault="00742965" w:rsidP="008A099B">
            <w:pPr>
              <w:pStyle w:val="IQB-Merkmalswert"/>
              <w:rPr>
                <w:sz w:val="22"/>
                <w:szCs w:val="22"/>
              </w:rPr>
            </w:pPr>
            <w:r w:rsidRPr="00DE6A25">
              <w:rPr>
                <w:sz w:val="22"/>
                <w:szCs w:val="22"/>
              </w:rPr>
              <w:t>4</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742965" w:rsidTr="00742965">
        <w:tc>
          <w:tcPr>
            <w:tcW w:w="2466" w:type="dxa"/>
            <w:vAlign w:val="center"/>
          </w:tcPr>
          <w:p w:rsidR="00742965" w:rsidRPr="00DE6A25" w:rsidRDefault="00742965" w:rsidP="008A099B">
            <w:pPr>
              <w:pStyle w:val="IQB-Merkmal"/>
            </w:pPr>
            <w:r w:rsidRPr="00DE6A25">
              <w:t>Leitidee</w:t>
            </w:r>
          </w:p>
        </w:tc>
        <w:tc>
          <w:tcPr>
            <w:tcW w:w="6604" w:type="dxa"/>
          </w:tcPr>
          <w:p w:rsidR="00742965" w:rsidRPr="00DE6A25" w:rsidRDefault="00742965" w:rsidP="008A099B">
            <w:pPr>
              <w:pStyle w:val="IQB-Merkmalswert"/>
              <w:rPr>
                <w:sz w:val="22"/>
                <w:szCs w:val="22"/>
              </w:rPr>
            </w:pPr>
            <w:r w:rsidRPr="00DE6A25">
              <w:rPr>
                <w:sz w:val="22"/>
                <w:szCs w:val="22"/>
              </w:rPr>
              <w:t>Funktionaler Zusammenhang (L4)</w:t>
            </w:r>
          </w:p>
        </w:tc>
      </w:tr>
      <w:tr w:rsidR="00742965" w:rsidTr="00742965">
        <w:tc>
          <w:tcPr>
            <w:tcW w:w="2466" w:type="dxa"/>
            <w:vAlign w:val="center"/>
          </w:tcPr>
          <w:p w:rsidR="00742965" w:rsidRPr="00DE6A25" w:rsidRDefault="00742965" w:rsidP="008A099B">
            <w:pPr>
              <w:pStyle w:val="IQB-Merkmal"/>
            </w:pPr>
            <w:r w:rsidRPr="00DE6A25">
              <w:t>Allgemeine Kompetenzen</w:t>
            </w:r>
          </w:p>
        </w:tc>
        <w:tc>
          <w:tcPr>
            <w:tcW w:w="6604" w:type="dxa"/>
          </w:tcPr>
          <w:p w:rsidR="00742965" w:rsidRDefault="00742965" w:rsidP="008A099B">
            <w:pPr>
              <w:pStyle w:val="IQB-Merkmalswert"/>
              <w:rPr>
                <w:sz w:val="22"/>
                <w:szCs w:val="22"/>
              </w:rPr>
            </w:pPr>
            <w:r w:rsidRPr="00DE6A25">
              <w:rPr>
                <w:sz w:val="22"/>
                <w:szCs w:val="22"/>
              </w:rPr>
              <w:t>Math</w:t>
            </w:r>
            <w:r>
              <w:rPr>
                <w:sz w:val="22"/>
                <w:szCs w:val="22"/>
              </w:rPr>
              <w:t>ematisch argumentieren (K1)</w:t>
            </w:r>
          </w:p>
          <w:p w:rsidR="00742965" w:rsidRPr="00DE6A25" w:rsidRDefault="00742965" w:rsidP="008A099B">
            <w:pPr>
              <w:pStyle w:val="IQB-Merkmalswert"/>
              <w:rPr>
                <w:sz w:val="22"/>
                <w:szCs w:val="22"/>
                <w:highlight w:val="yellow"/>
              </w:rPr>
            </w:pPr>
            <w:r w:rsidRPr="00DE6A25">
              <w:rPr>
                <w:sz w:val="22"/>
                <w:szCs w:val="22"/>
              </w:rPr>
              <w:t xml:space="preserve">Probleme mathematisch lösen (K2) </w:t>
            </w:r>
          </w:p>
        </w:tc>
      </w:tr>
      <w:tr w:rsidR="00742965" w:rsidTr="00742965">
        <w:tc>
          <w:tcPr>
            <w:tcW w:w="2466" w:type="dxa"/>
            <w:vAlign w:val="center"/>
          </w:tcPr>
          <w:p w:rsidR="00742965" w:rsidRPr="00DE6A25" w:rsidRDefault="00742965" w:rsidP="008A099B">
            <w:pPr>
              <w:pStyle w:val="IQB-Merkmal"/>
            </w:pPr>
            <w:r w:rsidRPr="00DE6A25">
              <w:t>Anforderungsbereich</w:t>
            </w:r>
          </w:p>
        </w:tc>
        <w:tc>
          <w:tcPr>
            <w:tcW w:w="6604" w:type="dxa"/>
          </w:tcPr>
          <w:p w:rsidR="00742965" w:rsidRPr="00DE6A25" w:rsidRDefault="00742965" w:rsidP="008A099B">
            <w:pPr>
              <w:pStyle w:val="IQB-Merkmalswert"/>
              <w:rPr>
                <w:sz w:val="22"/>
                <w:szCs w:val="22"/>
              </w:rPr>
            </w:pPr>
            <w:r w:rsidRPr="00DE6A25">
              <w:rPr>
                <w:sz w:val="22"/>
                <w:szCs w:val="22"/>
              </w:rPr>
              <w:t>II</w:t>
            </w:r>
          </w:p>
        </w:tc>
      </w:tr>
      <w:tr w:rsidR="00742965" w:rsidTr="00742965">
        <w:tc>
          <w:tcPr>
            <w:tcW w:w="2466" w:type="dxa"/>
            <w:vAlign w:val="center"/>
          </w:tcPr>
          <w:p w:rsidR="00742965" w:rsidRPr="00DE6A25" w:rsidRDefault="00742965" w:rsidP="008A099B">
            <w:pPr>
              <w:pStyle w:val="IQB-Merkmal"/>
            </w:pPr>
            <w:r w:rsidRPr="00DE6A25">
              <w:t>Kompetenzstufe</w:t>
            </w:r>
          </w:p>
        </w:tc>
        <w:tc>
          <w:tcPr>
            <w:tcW w:w="6604" w:type="dxa"/>
          </w:tcPr>
          <w:p w:rsidR="00742965" w:rsidRPr="00DE6A25" w:rsidRDefault="00742965" w:rsidP="008A099B">
            <w:pPr>
              <w:pStyle w:val="IQB-Merkmalswert"/>
              <w:rPr>
                <w:sz w:val="22"/>
                <w:szCs w:val="22"/>
              </w:rPr>
            </w:pPr>
            <w:r w:rsidRPr="00DE6A25">
              <w:rPr>
                <w:sz w:val="22"/>
                <w:szCs w:val="22"/>
              </w:rPr>
              <w:t>3</w:t>
            </w:r>
          </w:p>
        </w:tc>
      </w:tr>
    </w:tbl>
    <w:p w:rsidR="00694A63" w:rsidRPr="00694A63" w:rsidRDefault="00694A63" w:rsidP="00694A63">
      <w:pPr>
        <w:pStyle w:val="IQB-Teilaufgabentitel"/>
        <w:rPr>
          <w:b/>
        </w:rPr>
      </w:pPr>
      <w:r w:rsidRPr="00694A63">
        <w:rPr>
          <w:b/>
        </w:rPr>
        <w:t>Aufgabenbezogener Kommentar</w:t>
      </w:r>
    </w:p>
    <w:p w:rsidR="00742965" w:rsidRPr="00742965" w:rsidRDefault="00742965" w:rsidP="00742965">
      <w:pPr>
        <w:jc w:val="both"/>
        <w:rPr>
          <w:rFonts w:ascii="Arial" w:hAnsi="Arial"/>
          <w:sz w:val="22"/>
          <w:szCs w:val="22"/>
        </w:rPr>
      </w:pPr>
      <w:r w:rsidRPr="00742965">
        <w:rPr>
          <w:rFonts w:ascii="Arial" w:hAnsi="Arial"/>
          <w:sz w:val="22"/>
          <w:szCs w:val="22"/>
        </w:rPr>
        <w:t xml:space="preserve">In der Aufgabe „Jubiläumsgeschenk“ wird ein funktionaler Zusammenhang zwischen dem Kauf einer Glückwunschkarte und dem Kauf von Rosen auf der einen Seite und dem zu zahlenden Gesamtpreis auf der anderen Seite hergestellt. Somit gehört die Aufgabe zur Leitidee </w:t>
      </w:r>
      <w:r w:rsidRPr="00742965">
        <w:rPr>
          <w:rFonts w:ascii="Arial" w:hAnsi="Arial"/>
          <w:i/>
          <w:sz w:val="22"/>
          <w:szCs w:val="22"/>
        </w:rPr>
        <w:t>funktionaler Zusammenhang</w:t>
      </w:r>
      <w:r w:rsidRPr="00742965">
        <w:rPr>
          <w:rFonts w:ascii="Arial" w:hAnsi="Arial"/>
          <w:sz w:val="22"/>
          <w:szCs w:val="22"/>
        </w:rPr>
        <w:t> (L4).</w:t>
      </w:r>
    </w:p>
    <w:p w:rsidR="00742965" w:rsidRPr="00742965" w:rsidRDefault="00742965" w:rsidP="00742965">
      <w:pPr>
        <w:jc w:val="both"/>
        <w:rPr>
          <w:rFonts w:ascii="Arial" w:hAnsi="Arial"/>
          <w:sz w:val="22"/>
          <w:szCs w:val="22"/>
        </w:rPr>
      </w:pPr>
    </w:p>
    <w:p w:rsidR="00742965" w:rsidRPr="00742965" w:rsidRDefault="00742965" w:rsidP="00742965">
      <w:pPr>
        <w:jc w:val="both"/>
        <w:rPr>
          <w:rFonts w:ascii="Arial" w:hAnsi="Arial"/>
          <w:sz w:val="22"/>
          <w:szCs w:val="22"/>
        </w:rPr>
      </w:pPr>
      <w:r w:rsidRPr="00742965">
        <w:rPr>
          <w:rFonts w:ascii="Arial" w:hAnsi="Arial"/>
          <w:sz w:val="22"/>
          <w:szCs w:val="22"/>
        </w:rPr>
        <w:t xml:space="preserve">In Teilaufgabe 1 wird dieser Zusammenhang (reale Situation) durch einen Funktionsterm beschrieben (mathematisches Modell). Somit wird hier die Kompetenz </w:t>
      </w:r>
      <w:r w:rsidRPr="00742965">
        <w:rPr>
          <w:rFonts w:ascii="Arial" w:hAnsi="Arial"/>
          <w:i/>
          <w:sz w:val="22"/>
          <w:szCs w:val="22"/>
        </w:rPr>
        <w:t>Mathematisch modellieren</w:t>
      </w:r>
      <w:r w:rsidRPr="00742965">
        <w:rPr>
          <w:rFonts w:ascii="Arial" w:hAnsi="Arial"/>
          <w:sz w:val="22"/>
          <w:szCs w:val="22"/>
        </w:rPr>
        <w:t xml:space="preserve"> (K3) gefordert. Das Aufstellen des Funktionsterms verlangt danach, mit mathematischen Symbolen umzugehen. Daher wird auch die Kompetenz </w:t>
      </w:r>
      <w:r w:rsidRPr="00742965">
        <w:rPr>
          <w:rFonts w:ascii="Arial" w:hAnsi="Arial"/>
          <w:i/>
          <w:sz w:val="22"/>
          <w:szCs w:val="22"/>
        </w:rPr>
        <w:t>Mit symbolischen, formalen und technischen Elementen der Mathematik umgehen</w:t>
      </w:r>
      <w:r w:rsidRPr="00742965">
        <w:rPr>
          <w:rFonts w:ascii="Arial" w:hAnsi="Arial"/>
          <w:sz w:val="22"/>
          <w:szCs w:val="22"/>
        </w:rPr>
        <w:t xml:space="preserve"> (K5) in Teilaufgabe 1 vorausgesetzt. In Teilaufgabe 2 kann man durch die Problemlösestrategie „Probieren“ zum Ziel gelangen. Insofern wird hier die Kompetenz </w:t>
      </w:r>
      <w:r w:rsidRPr="00742965">
        <w:rPr>
          <w:rFonts w:ascii="Arial" w:hAnsi="Arial"/>
          <w:i/>
          <w:sz w:val="22"/>
          <w:szCs w:val="22"/>
        </w:rPr>
        <w:t>Probleme mathematisch lösen</w:t>
      </w:r>
      <w:r w:rsidRPr="00742965">
        <w:rPr>
          <w:rFonts w:ascii="Arial" w:hAnsi="Arial"/>
          <w:sz w:val="22"/>
          <w:szCs w:val="22"/>
        </w:rPr>
        <w:t xml:space="preserve"> (K2) geprüft. Weiterhin begründen Schülerinnen und Schüler hier schriftlich. Es wird daher die Kompetenz </w:t>
      </w:r>
      <w:r w:rsidRPr="00742965">
        <w:rPr>
          <w:rFonts w:ascii="Arial" w:hAnsi="Arial"/>
          <w:i/>
          <w:sz w:val="22"/>
          <w:szCs w:val="22"/>
        </w:rPr>
        <w:t>Mathematisch argumentieren</w:t>
      </w:r>
      <w:r w:rsidRPr="00742965">
        <w:rPr>
          <w:rFonts w:ascii="Arial" w:hAnsi="Arial"/>
          <w:sz w:val="22"/>
          <w:szCs w:val="22"/>
        </w:rPr>
        <w:t> (K1) benötigt.</w:t>
      </w:r>
    </w:p>
    <w:p w:rsidR="00742965" w:rsidRPr="00742965" w:rsidRDefault="00742965" w:rsidP="00742965">
      <w:pPr>
        <w:jc w:val="both"/>
        <w:rPr>
          <w:rFonts w:ascii="Arial" w:hAnsi="Arial"/>
          <w:sz w:val="22"/>
          <w:szCs w:val="22"/>
        </w:rPr>
      </w:pPr>
    </w:p>
    <w:p w:rsidR="00742965" w:rsidRPr="00742965" w:rsidRDefault="00742965" w:rsidP="00742965">
      <w:pPr>
        <w:jc w:val="both"/>
        <w:rPr>
          <w:rFonts w:ascii="Arial" w:hAnsi="Arial"/>
          <w:sz w:val="22"/>
          <w:szCs w:val="22"/>
        </w:rPr>
      </w:pPr>
      <w:r w:rsidRPr="00742965">
        <w:rPr>
          <w:rFonts w:ascii="Arial" w:hAnsi="Arial"/>
          <w:sz w:val="22"/>
          <w:szCs w:val="22"/>
        </w:rPr>
        <w:t>In Teilaufgabe 1 wird natürliche Sprache in symbolische und formale Sprache (Funktionsgleichung) übersetzt. Daher wird diese Teilaufgabe dem Anforderungsbereich II zugeordnet. In Teilaufgabe 2 müssen Überlegungen verständlich dargestellt werden. Daher gehört diese Teilaufgabe zum Anforderungsbereich II.</w:t>
      </w:r>
    </w:p>
    <w:p w:rsidR="00694A63" w:rsidRPr="00694A63" w:rsidRDefault="00694A63" w:rsidP="00694A63">
      <w:pPr>
        <w:pStyle w:val="IQB-Teilaufgabentitel"/>
        <w:rPr>
          <w:b/>
        </w:rPr>
      </w:pPr>
      <w:r w:rsidRPr="00694A63">
        <w:rPr>
          <w:b/>
        </w:rPr>
        <w:t>Anregungen für den Unterricht</w:t>
      </w:r>
    </w:p>
    <w:p w:rsidR="00742965" w:rsidRPr="00742965" w:rsidRDefault="00742965" w:rsidP="00742965">
      <w:pPr>
        <w:jc w:val="both"/>
        <w:rPr>
          <w:rFonts w:ascii="Arial" w:hAnsi="Arial"/>
          <w:sz w:val="22"/>
          <w:szCs w:val="22"/>
        </w:rPr>
      </w:pPr>
      <w:r w:rsidRPr="00742965">
        <w:rPr>
          <w:rFonts w:ascii="Arial" w:hAnsi="Arial"/>
          <w:sz w:val="22"/>
          <w:szCs w:val="22"/>
        </w:rPr>
        <w:t xml:space="preserve">In Teilaufgabe 2 der Aufgabe „Jubiläumsgeschenk“ wird eine Begründung verlangt. Begründungen verlangen in der Regel die Kompetenz </w:t>
      </w:r>
      <w:r w:rsidRPr="00742965">
        <w:rPr>
          <w:rFonts w:ascii="Arial" w:hAnsi="Arial"/>
          <w:i/>
          <w:sz w:val="22"/>
          <w:szCs w:val="22"/>
        </w:rPr>
        <w:t>Mathematisch argumentieren</w:t>
      </w:r>
      <w:r w:rsidRPr="00742965">
        <w:rPr>
          <w:rFonts w:ascii="Arial" w:hAnsi="Arial"/>
          <w:sz w:val="22"/>
          <w:szCs w:val="22"/>
        </w:rPr>
        <w:t> (K1). Wie aber kann man diese Kompetenz bei Schülerinnen und Schülern fördern, außer durch die regelmäßige Verwendung von Begründungsaufgaben im Unterricht? Eine Möglichkeit besteht darin über die Struktur verschiedener Begründungen zu reflektieren und im Unterricht verschiedene solcher Strukturen mathematischer Begründungen zu thematisieren. Solche Strukturen oder Muster können z. B. auf einem Plakat oder in einem Merkheft gesichert werden, sodass Schülerinnen und Schüler bei der Bearbeitung von Begründungsaufgaben stets darauf zurückgreifen können. Im Folgenden werden einige dieser Muster vorgestellt und auf das konkrete Beispiel aus Teilaufgabe 2 bezogen, ohne dass die Liste einen Anspruch auf Vollständigkeit erhebt.</w:t>
      </w:r>
    </w:p>
    <w:p w:rsidR="00742965" w:rsidRPr="00742965" w:rsidRDefault="00742965" w:rsidP="00742965">
      <w:pPr>
        <w:jc w:val="both"/>
        <w:rPr>
          <w:rFonts w:ascii="Arial" w:hAnsi="Arial"/>
          <w:sz w:val="22"/>
          <w:szCs w:val="22"/>
        </w:rPr>
      </w:pPr>
    </w:p>
    <w:p w:rsidR="00742965" w:rsidRPr="00742965" w:rsidRDefault="00742965" w:rsidP="00742965">
      <w:pPr>
        <w:jc w:val="both"/>
        <w:rPr>
          <w:rFonts w:ascii="Arial" w:hAnsi="Arial"/>
          <w:sz w:val="22"/>
          <w:szCs w:val="22"/>
        </w:rPr>
      </w:pPr>
      <w:r w:rsidRPr="00742965">
        <w:rPr>
          <w:rFonts w:ascii="Arial" w:hAnsi="Arial"/>
          <w:b/>
          <w:sz w:val="22"/>
          <w:szCs w:val="22"/>
        </w:rPr>
        <w:t xml:space="preserve">Begründung durch Bezug auf eine Definition oder einen Satz: </w:t>
      </w:r>
      <w:r w:rsidRPr="00742965">
        <w:rPr>
          <w:rFonts w:ascii="Arial" w:hAnsi="Arial"/>
          <w:sz w:val="22"/>
          <w:szCs w:val="22"/>
        </w:rPr>
        <w:t xml:space="preserve">Dieses Muster einer Begründung bietet sich immer dann an, wenn man einen Einzelfall oder eine Frage direkt unter eine Definition </w:t>
      </w:r>
      <w:r w:rsidRPr="00742965">
        <w:rPr>
          <w:rFonts w:ascii="Arial" w:hAnsi="Arial"/>
          <w:sz w:val="22"/>
          <w:szCs w:val="22"/>
        </w:rPr>
        <w:lastRenderedPageBreak/>
        <w:t>oder einen Satz fassen kann und somit Eigenschaften eines Objekts oder Ähnliches direkt aus Definitionen und Sätzen deduziert werden können. Der im Aufgabentext beschriebene funktionale Zusammenhang deutet auf eine lineare Funktion mit einem y-Achsenabschnitt ungleich 0 hin. Die Verdopplung des Gesamtpreises für Rosen und Glückwunschkarte ergäbe sich jedoch nur für eine proportionale Zuordnung. Wurde dieser Unterschied zwischen linearen und proportionalen Funktionen vorher im Unterricht behandelt, kann er als Begründung von Schülerinnen und Schülern genutzt werden (auch wenn er hier nicht in der Auswertungsanleitung angegeben ist).</w:t>
      </w:r>
    </w:p>
    <w:p w:rsidR="00742965" w:rsidRPr="00742965" w:rsidRDefault="00742965" w:rsidP="00742965">
      <w:pPr>
        <w:jc w:val="both"/>
        <w:rPr>
          <w:rFonts w:ascii="Arial" w:hAnsi="Arial"/>
          <w:sz w:val="22"/>
          <w:szCs w:val="22"/>
        </w:rPr>
      </w:pPr>
    </w:p>
    <w:p w:rsidR="00742965" w:rsidRPr="00742965" w:rsidRDefault="00742965" w:rsidP="00742965">
      <w:pPr>
        <w:jc w:val="both"/>
        <w:rPr>
          <w:rFonts w:ascii="Arial" w:hAnsi="Arial"/>
          <w:sz w:val="22"/>
          <w:szCs w:val="22"/>
        </w:rPr>
      </w:pPr>
      <w:r w:rsidRPr="00742965">
        <w:rPr>
          <w:rFonts w:ascii="Arial" w:hAnsi="Arial"/>
          <w:b/>
          <w:sz w:val="22"/>
          <w:szCs w:val="22"/>
        </w:rPr>
        <w:t>Begründung durch ein Gegenbeispiel:</w:t>
      </w:r>
      <w:r w:rsidRPr="00742965">
        <w:rPr>
          <w:rFonts w:ascii="Arial" w:hAnsi="Arial"/>
          <w:sz w:val="22"/>
          <w:szCs w:val="22"/>
        </w:rPr>
        <w:t xml:space="preserve"> Insbesondere dann, wenn eine allgemeine Aussage wiederlegt werden soll, bietet sich die Verwendung eines Gegenbeispiels an. In der Aufgabe Jubiläumsgeschenk könnte man also einfach den Preis für vier Rosen und eine Karte (14 Euro) und acht Rosen und eine Karte (26 Euro) berechnen, um zu zeigen, dass die Aussage nicht stimmt.</w:t>
      </w:r>
    </w:p>
    <w:p w:rsidR="00742965" w:rsidRPr="00742965" w:rsidRDefault="00742965" w:rsidP="00742965">
      <w:pPr>
        <w:jc w:val="both"/>
        <w:rPr>
          <w:rFonts w:ascii="Arial" w:hAnsi="Arial"/>
          <w:sz w:val="22"/>
          <w:szCs w:val="22"/>
        </w:rPr>
      </w:pPr>
    </w:p>
    <w:p w:rsidR="00742965" w:rsidRPr="00742965" w:rsidRDefault="00742965" w:rsidP="00742965">
      <w:pPr>
        <w:jc w:val="both"/>
        <w:rPr>
          <w:rFonts w:ascii="Arial" w:hAnsi="Arial"/>
          <w:sz w:val="22"/>
          <w:szCs w:val="22"/>
        </w:rPr>
      </w:pPr>
      <w:r w:rsidRPr="00742965">
        <w:rPr>
          <w:rFonts w:ascii="Arial" w:hAnsi="Arial"/>
          <w:b/>
          <w:sz w:val="22"/>
          <w:szCs w:val="22"/>
        </w:rPr>
        <w:t>Begründung durch die Anwendung eines (Rechen-)Verfahrens:</w:t>
      </w:r>
      <w:r w:rsidRPr="00742965">
        <w:rPr>
          <w:rFonts w:ascii="Arial" w:hAnsi="Arial"/>
          <w:sz w:val="22"/>
          <w:szCs w:val="22"/>
        </w:rPr>
        <w:t xml:space="preserve"> Auch durch Rechnungen können Aussagen begründet werden. Man arbeitet sozusagen vorwärts und überprüft so eine Aussage. Man startet beispielweise mit der Aussage, dass doppelt so viele Rosen gekauft werden und übersetzt diese Aussage in einen Term. Anschließend arbeitet man vorwärts in Richtung der Behauptung, dass der Gesamtpreis für Rosen und Karte doppelt so hoch ist: </w:t>
      </w:r>
      <w:r w:rsidRPr="00742965">
        <w:rPr>
          <w:rFonts w:ascii="Arial" w:hAnsi="Arial"/>
          <w:position w:val="-10"/>
          <w:sz w:val="22"/>
          <w:szCs w:val="22"/>
        </w:rPr>
        <w:object w:dxaOrig="30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152.55pt;height:14.95pt" o:ole="">
            <v:imagedata r:id="rId8" o:title=""/>
          </v:shape>
          <o:OLEObject Type="Embed" ProgID="Equation.DSMT4" ShapeID="_x0000_i1047" DrawAspect="Content" ObjectID="_1814854073" r:id="rId9"/>
        </w:object>
      </w:r>
      <w:r w:rsidRPr="00742965">
        <w:rPr>
          <w:rFonts w:ascii="Arial" w:hAnsi="Arial"/>
          <w:sz w:val="22"/>
          <w:szCs w:val="22"/>
        </w:rPr>
        <w:t>.</w:t>
      </w:r>
    </w:p>
    <w:p w:rsidR="00742965" w:rsidRPr="00742965" w:rsidRDefault="00742965" w:rsidP="00742965">
      <w:pPr>
        <w:jc w:val="both"/>
        <w:rPr>
          <w:rFonts w:ascii="Arial" w:hAnsi="Arial"/>
          <w:sz w:val="22"/>
          <w:szCs w:val="22"/>
        </w:rPr>
      </w:pPr>
    </w:p>
    <w:p w:rsidR="00742965" w:rsidRPr="00742965" w:rsidRDefault="00742965" w:rsidP="00742965">
      <w:pPr>
        <w:jc w:val="both"/>
        <w:rPr>
          <w:rFonts w:ascii="Arial" w:hAnsi="Arial"/>
          <w:sz w:val="22"/>
          <w:szCs w:val="22"/>
        </w:rPr>
      </w:pPr>
      <w:r w:rsidRPr="00742965">
        <w:rPr>
          <w:rFonts w:ascii="Arial" w:hAnsi="Arial"/>
          <w:b/>
          <w:sz w:val="22"/>
          <w:szCs w:val="22"/>
        </w:rPr>
        <w:t>Begründung durch Widerspruch:</w:t>
      </w:r>
      <w:r w:rsidRPr="00742965">
        <w:rPr>
          <w:rFonts w:ascii="Arial" w:hAnsi="Arial"/>
          <w:sz w:val="22"/>
          <w:szCs w:val="22"/>
        </w:rPr>
        <w:t xml:space="preserve"> In unserem Beispiel liegen die Begründungsmuster „Anwenden eines (Rechen-)Verfahrens“ und das Muster „Beweis durch Widerspruch“ eng beieinander. Das ist selbstredend nicht immer so. Sofern eine Aussage stimmt, führt das Anwenden eines (Rechen-)Verfahrens aus dem Unterricht auch zur Bestätigung der Aussage. Schülerinnen und Schüler kann auch das Begründungsmuster „Beweis durch Widerspruch“ verdeutlicht werden. Man würde hier davon ausgehen, dass die Aussage stimmt und dies mathematisch formulieren. Sodann wird die Aussage zum Widerspruch geführt:</w:t>
      </w:r>
      <w:r w:rsidRPr="00742965">
        <w:rPr>
          <w:rFonts w:ascii="Arial" w:hAnsi="Arial"/>
          <w:position w:val="-10"/>
          <w:sz w:val="22"/>
          <w:szCs w:val="22"/>
        </w:rPr>
        <w:object w:dxaOrig="4520" w:dyaOrig="300">
          <v:shape id="_x0000_i1048" type="#_x0000_t75" style="width:226pt;height:14.95pt" o:ole="">
            <v:imagedata r:id="rId10" o:title=""/>
          </v:shape>
          <o:OLEObject Type="Embed" ProgID="Equation.DSMT4" ShapeID="_x0000_i1048" DrawAspect="Content" ObjectID="_1814854074" r:id="rId11"/>
        </w:object>
      </w:r>
      <w:r w:rsidRPr="00742965">
        <w:rPr>
          <w:rFonts w:ascii="Arial" w:hAnsi="Arial"/>
          <w:sz w:val="22"/>
          <w:szCs w:val="22"/>
        </w:rPr>
        <w:t>.</w:t>
      </w:r>
    </w:p>
    <w:p w:rsidR="00694A63" w:rsidRPr="005B2F65" w:rsidRDefault="00694A63" w:rsidP="00742965">
      <w:pPr>
        <w:spacing w:line="240" w:lineRule="atLeast"/>
        <w:jc w:val="both"/>
        <w:rPr>
          <w:sz w:val="22"/>
          <w:szCs w:val="22"/>
        </w:rPr>
      </w:pPr>
      <w:bookmarkStart w:id="0" w:name="_GoBack"/>
      <w:bookmarkEnd w:id="0"/>
    </w:p>
    <w:sectPr w:rsidR="00694A63" w:rsidRPr="005B2F65" w:rsidSect="00DB65DC">
      <w:headerReference w:type="even" r:id="rId12"/>
      <w:headerReference w:type="default" r:id="rId13"/>
      <w:footerReference w:type="even" r:id="rId14"/>
      <w:footerReference w:type="default" r:id="rId15"/>
      <w:headerReference w:type="first" r:id="rId16"/>
      <w:footerReference w:type="first" r:id="rId17"/>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3D70EAAB-74F5-430C-AA1A-63FE972C860A}"/>
    <w:embedBold r:id="rId2" w:fontKey="{A656D81D-DA6B-4B77-98C0-335C2140F5C0}"/>
    <w:embedItalic r:id="rId3" w:fontKey="{0770B972-2F53-4730-86E6-15B6E4778F52}"/>
    <w:embedBoldItalic r:id="rId4" w:fontKey="{7BD1915D-1CD1-48EE-B31E-3017B45F7F03}"/>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64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D708B"/>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6973CB"/>
    <w:rsid w:val="00742965"/>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7385A"/>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5462C"/>
    <w:rsid w:val="00B8136A"/>
    <w:rsid w:val="00BC76A7"/>
    <w:rsid w:val="00BE7001"/>
    <w:rsid w:val="00C14B64"/>
    <w:rsid w:val="00C1611A"/>
    <w:rsid w:val="00C2374F"/>
    <w:rsid w:val="00C2385F"/>
    <w:rsid w:val="00C630C9"/>
    <w:rsid w:val="00C74A96"/>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42719"/>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497"/>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w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0BAB77-557D-4D5F-B955-A6881E7EEE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646</Words>
  <Characters>4375</Characters>
  <Application>Microsoft Office Word</Application>
  <DocSecurity>0</DocSecurity>
  <Lines>81</Lines>
  <Paragraphs>28</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2025-07-24T07:21:00Z</dcterms:created>
  <dcterms:modified xsi:type="dcterms:W3CDTF">2025-07-24T07:21:00Z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